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rFonts w:ascii="Cambria" w:hAnsi="Cambria" w:eastAsia="Times New Roman" w:cs="Calibri"/>
          <w:caps/>
          <w:color w:val="000000"/>
          <w:sz w:val="28"/>
          <w:szCs w:val="28"/>
        </w:rPr>
      </w:pPr>
      <w:r>
        <w:rPr>
          <w:rFonts w:eastAsia="Times New Roman" w:cs="Calibri" w:ascii="Cambria" w:hAnsi="Cambria"/>
          <w:caps/>
          <w:color w:val="000000"/>
          <w:sz w:val="28"/>
          <w:szCs w:val="28"/>
        </w:rPr>
        <w:t xml:space="preserve">IAMCR Working Group Renewal Application Form </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t>INSTRUCTIONS TO WORKING GROUP HEADS</w:t>
      </w:r>
    </w:p>
    <w:p>
      <w:pPr>
        <w:pStyle w:val="Normal"/>
        <w:rPr>
          <w:rFonts w:ascii="Cambria" w:hAnsi="Cambria"/>
        </w:rPr>
      </w:pPr>
      <w:r>
        <w:rPr>
          <w:rFonts w:ascii="Cambria" w:hAnsi="Cambria"/>
        </w:rPr>
      </w:r>
    </w:p>
    <w:p>
      <w:pPr>
        <w:pStyle w:val="Normal"/>
        <w:rPr>
          <w:rFonts w:ascii="Cambria" w:hAnsi="Cambria"/>
          <w:b/>
          <w:bCs/>
        </w:rPr>
      </w:pPr>
      <w:r>
        <w:rPr>
          <w:rFonts w:ascii="Cambria" w:hAnsi="Cambria"/>
        </w:rPr>
        <w:t xml:space="preserve">Use this Word file as an application form.  Complete it by addressing, in sequence, points raised in Part II and entering them into the file. </w:t>
      </w:r>
    </w:p>
    <w:p>
      <w:pPr>
        <w:pStyle w:val="NormalWeb"/>
        <w:spacing w:before="280" w:after="280"/>
        <w:rPr>
          <w:rFonts w:ascii="Cambria" w:hAnsi="Cambria"/>
          <w:color w:themeColor="text1" w:val="000000"/>
          <w:sz w:val="28"/>
          <w:szCs w:val="28"/>
        </w:rPr>
      </w:pPr>
      <w:r>
        <w:rPr>
          <w:rFonts w:ascii="Cambria" w:hAnsi="Cambria"/>
          <w:color w:themeColor="text1" w:val="000000"/>
          <w:sz w:val="28"/>
          <w:szCs w:val="28"/>
        </w:rPr>
        <w:t>* Part I</w:t>
      </w:r>
    </w:p>
    <w:p>
      <w:pPr>
        <w:pStyle w:val="NormalWeb"/>
        <w:spacing w:before="280" w:after="280"/>
        <w:rPr>
          <w:rFonts w:ascii="Cambria" w:hAnsi="Cambria"/>
          <w:color w:themeColor="text1" w:val="000000"/>
        </w:rPr>
      </w:pPr>
      <w:r>
        <w:rPr>
          <w:rFonts w:ascii="Cambria" w:hAnsi="Cambria"/>
          <w:color w:themeColor="text1" w:val="000000"/>
        </w:rPr>
        <w:t>The Working Group (WG) renewal process relies on two kind of information. The first comprises productivity data gathered from Working Group heads annually via survey over the preceding 4 years as indicated in the Scholarly Review Committee (SRC) document, “</w:t>
      </w:r>
      <w:r>
        <w:rPr>
          <w:rFonts w:cs="Calibri" w:ascii="Cambria" w:hAnsi="Cambria"/>
        </w:rPr>
        <w:t>Section and Working Group Activity Requirements, Monitoring, and Evaluation.”</w:t>
      </w:r>
      <w:r>
        <w:rPr>
          <w:rFonts w:ascii="Cambria" w:hAnsi="Cambria"/>
          <w:color w:themeColor="text1" w:val="000000"/>
        </w:rPr>
        <w:t xml:space="preserve"> These data will be provided to the International Council by the Scholarly Review Committee. </w:t>
      </w:r>
    </w:p>
    <w:p>
      <w:pPr>
        <w:pStyle w:val="NormalWeb"/>
        <w:spacing w:before="280" w:after="280"/>
        <w:rPr>
          <w:rFonts w:ascii="Cambria" w:hAnsi="Cambria"/>
          <w:color w:themeColor="text1" w:val="000000"/>
        </w:rPr>
      </w:pPr>
      <w:r>
        <w:rPr>
          <w:rFonts w:ascii="Cambria" w:hAnsi="Cambria"/>
          <w:color w:themeColor="text1" w:val="000000"/>
        </w:rPr>
        <w:t xml:space="preserve"> </w:t>
      </w:r>
      <w:r>
        <w:rPr>
          <w:rFonts w:ascii="Cambria" w:hAnsi="Cambria"/>
          <w:i/>
          <w:iCs/>
          <w:color w:themeColor="text1" w:val="000000"/>
        </w:rPr>
        <w:t>Working Group heads do not provide any information for Part I</w:t>
      </w:r>
      <w:r>
        <w:rPr>
          <w:rFonts w:ascii="Cambria" w:hAnsi="Cambria"/>
          <w:b/>
          <w:bCs/>
          <w:color w:themeColor="text1" w:val="000000"/>
        </w:rPr>
        <w:t>.</w:t>
      </w:r>
    </w:p>
    <w:p>
      <w:pPr>
        <w:pStyle w:val="NormalWeb"/>
        <w:spacing w:before="280" w:after="280"/>
        <w:rPr>
          <w:rFonts w:ascii="Cambria" w:hAnsi="Cambria" w:cs="Calibri"/>
        </w:rPr>
      </w:pPr>
      <w:r>
        <w:rPr>
          <w:rFonts w:cs="Calibri" w:ascii="Cambria" w:hAnsi="Cambria"/>
        </w:rPr>
        <w:t xml:space="preserve">The document, Section and Working Group Activity Requirements, Monitoring, and Evaluation is available on the SRC website. </w:t>
      </w:r>
    </w:p>
    <w:p>
      <w:pPr>
        <w:pStyle w:val="NormalWeb"/>
        <w:spacing w:before="280" w:after="280"/>
        <w:rPr>
          <w:rFonts w:ascii="Cambria" w:hAnsi="Cambria"/>
          <w:color w:themeColor="text1" w:val="000000"/>
        </w:rPr>
      </w:pPr>
      <w:r>
        <w:rPr>
          <w:rFonts w:cs="Calibri" w:ascii="Cambria" w:hAnsi="Cambria"/>
        </w:rPr>
        <w:t>See:</w:t>
      </w:r>
      <w:hyperlink r:id="rId2">
        <w:r>
          <w:rPr>
            <w:rStyle w:val="Hyperlink"/>
            <w:rFonts w:ascii="Cambria" w:hAnsi="Cambria"/>
          </w:rPr>
          <w:t>https://iamcr.org/sites/default/files/SectionWorkingGroupActivityRequirementsMonitoringEvaluation.pdf</w:t>
        </w:r>
      </w:hyperlink>
      <w:r>
        <w:rPr>
          <w:rFonts w:ascii="Cambria" w:hAnsi="Cambria"/>
          <w:color w:themeColor="text1" w:val="000000"/>
        </w:rPr>
        <w:t xml:space="preserve">  </w:t>
      </w:r>
    </w:p>
    <w:p>
      <w:pPr>
        <w:pStyle w:val="Normal"/>
        <w:rPr>
          <w:rFonts w:ascii="Cambria" w:hAnsi="Cambria" w:cs="Times New Roman"/>
          <w:color w:themeColor="text1" w:val="000000"/>
          <w:sz w:val="28"/>
          <w:szCs w:val="28"/>
        </w:rPr>
      </w:pPr>
      <w:r>
        <w:rPr>
          <w:rFonts w:cs="Times New Roman" w:ascii="Cambria" w:hAnsi="Cambria"/>
          <w:color w:themeColor="text1" w:val="000000"/>
          <w:sz w:val="28"/>
          <w:szCs w:val="28"/>
        </w:rPr>
        <w:t>** Part II</w:t>
      </w:r>
    </w:p>
    <w:p>
      <w:pPr>
        <w:pStyle w:val="Normal"/>
        <w:rPr>
          <w:rFonts w:ascii="Cambria" w:hAnsi="Cambria" w:cs="Times New Roman"/>
          <w:color w:themeColor="text1" w:val="000000"/>
        </w:rPr>
      </w:pPr>
      <w:r>
        <w:rPr>
          <w:rFonts w:cs="Times New Roman" w:ascii="Cambria" w:hAnsi="Cambria"/>
          <w:color w:themeColor="text1" w:val="000000"/>
        </w:rPr>
      </w:r>
    </w:p>
    <w:p>
      <w:pPr>
        <w:pStyle w:val="Normal"/>
        <w:rPr>
          <w:rFonts w:ascii="Cambria" w:hAnsi="Cambria" w:cs="Times New Roman"/>
          <w:color w:themeColor="text1" w:val="000000"/>
        </w:rPr>
      </w:pPr>
      <w:r>
        <w:rPr>
          <w:rFonts w:cs="Times New Roman" w:ascii="Cambria" w:hAnsi="Cambria"/>
          <w:color w:themeColor="text1" w:val="000000"/>
        </w:rPr>
        <w:t>The second kind of information used in the renewal process reflects the aim of stimulating thematic innovation and differentiating between Sections and Working Groups as required by the IAMCR Statutes. It addresses future WG plans. This information replicates, in part, that which is used in applications to establish Working Groups.</w:t>
      </w:r>
    </w:p>
    <w:p>
      <w:pPr>
        <w:pStyle w:val="Normal"/>
        <w:rPr>
          <w:rFonts w:ascii="Cambria" w:hAnsi="Cambria" w:cs="Times New Roman"/>
          <w:color w:themeColor="text1" w:val="000000"/>
        </w:rPr>
      </w:pPr>
      <w:r>
        <w:rPr>
          <w:rFonts w:cs="Times New Roman" w:ascii="Cambria" w:hAnsi="Cambria"/>
          <w:color w:themeColor="text1" w:val="000000"/>
        </w:rPr>
        <w:t xml:space="preserve">See (https://iamcr.org/SRC).  In addition, the second kind of information includes WG forward thinking and planning.  </w:t>
      </w:r>
    </w:p>
    <w:p>
      <w:pPr>
        <w:pStyle w:val="Normal"/>
        <w:rPr>
          <w:rFonts w:ascii="Cambria" w:hAnsi="Cambria" w:cs="Times New Roman"/>
          <w:color w:themeColor="text1" w:val="000000"/>
        </w:rPr>
      </w:pPr>
      <w:r>
        <w:rPr>
          <w:rFonts w:cs="Times New Roman" w:ascii="Cambria" w:hAnsi="Cambria"/>
          <w:color w:themeColor="text1" w:val="000000"/>
        </w:rPr>
      </w:r>
    </w:p>
    <w:p>
      <w:pPr>
        <w:pStyle w:val="Normal"/>
        <w:rPr>
          <w:rFonts w:ascii="Cambria" w:hAnsi="Cambria" w:cs="Times New Roman"/>
          <w:b/>
          <w:bCs/>
          <w:color w:themeColor="text1" w:val="000000"/>
        </w:rPr>
      </w:pPr>
      <w:r>
        <w:rPr>
          <w:rFonts w:cs="Times New Roman" w:ascii="Cambria" w:hAnsi="Cambria"/>
          <w:i/>
          <w:iCs/>
          <w:color w:themeColor="text1" w:val="000000"/>
        </w:rPr>
        <w:t>Working Group heads should provide information addressing each of the following.  Please address these point by point, in each case providing open-ended answers for points a. through d. below.  Use as much space as needed for each</w:t>
      </w:r>
      <w:r>
        <w:rPr>
          <w:rFonts w:cs="Times New Roman" w:ascii="Cambria" w:hAnsi="Cambria"/>
          <w:b/>
          <w:bCs/>
          <w:color w:themeColor="text1" w:val="000000"/>
        </w:rPr>
        <w:t>.</w:t>
      </w:r>
    </w:p>
    <w:p>
      <w:pPr>
        <w:pStyle w:val="Normal"/>
        <w:rPr>
          <w:rFonts w:ascii="Cambria" w:hAnsi="Cambria" w:cs="Times New Roman"/>
          <w:color w:themeColor="text1" w:val="000000"/>
        </w:rPr>
      </w:pPr>
      <w:r>
        <w:rPr>
          <w:rFonts w:cs="Times New Roman" w:ascii="Cambria" w:hAnsi="Cambria"/>
          <w:color w:themeColor="text1" w:val="000000"/>
        </w:rPr>
      </w:r>
    </w:p>
    <w:p>
      <w:pPr>
        <w:pStyle w:val="ListParagraph"/>
        <w:numPr>
          <w:ilvl w:val="0"/>
          <w:numId w:val="1"/>
        </w:numPr>
        <w:ind w:hanging="360" w:left="360"/>
        <w:rPr>
          <w:rFonts w:ascii="Cambria" w:hAnsi="Cambria" w:cs="Times New Roman"/>
          <w:color w:themeColor="text1" w:val="000000"/>
        </w:rPr>
      </w:pPr>
      <w:r>
        <w:rPr>
          <w:rFonts w:cs="Times New Roman" w:ascii="Cambria" w:hAnsi="Cambria"/>
          <w:color w:themeColor="text1" w:val="000000"/>
        </w:rPr>
        <w:t>Heads/Vice Heads of the Working Group.</w:t>
      </w:r>
    </w:p>
    <w:p>
      <w:pPr>
        <w:pStyle w:val="Normal"/>
        <w:ind w:firstLine="360"/>
        <w:rPr>
          <w:rFonts w:ascii="Cambria" w:hAnsi="Cambria" w:cs="Times New Roman"/>
          <w:i/>
          <w:i/>
          <w:iCs/>
          <w:color w:themeColor="text1" w:val="000000"/>
        </w:rPr>
      </w:pPr>
      <w:r>
        <w:rPr>
          <w:rFonts w:cs="Times New Roman" w:ascii="Cambria" w:hAnsi="Cambria"/>
          <w:i/>
          <w:iCs/>
          <w:color w:themeColor="text1" w:val="000000"/>
        </w:rPr>
      </w:r>
    </w:p>
    <w:p>
      <w:pPr>
        <w:pStyle w:val="Normal"/>
        <w:ind w:firstLine="360"/>
        <w:rPr>
          <w:rFonts w:ascii="Cambria" w:hAnsi="Cambria" w:cs="Times New Roman"/>
          <w:i/>
          <w:i/>
          <w:iCs/>
          <w:color w:themeColor="text1" w:val="000000"/>
        </w:rPr>
      </w:pPr>
      <w:r>
        <w:rPr>
          <w:rFonts w:cs="Times New Roman" w:ascii="Cambria" w:hAnsi="Cambria"/>
          <w:i/>
          <w:iCs/>
          <w:color w:themeColor="text1" w:val="000000"/>
        </w:rPr>
        <w:t>Provide Answer Here</w:t>
      </w:r>
    </w:p>
    <w:p>
      <w:pPr>
        <w:pStyle w:val="Normal"/>
        <w:rPr>
          <w:rFonts w:ascii="Cambria" w:hAnsi="Cambria" w:cs="Times New Roman"/>
          <w:color w:themeColor="text1" w:val="000000"/>
        </w:rPr>
      </w:pPr>
      <w:r>
        <w:rPr>
          <w:rFonts w:cs="Times New Roman" w:ascii="Cambria" w:hAnsi="Cambria"/>
          <w:color w:themeColor="text1" w:val="000000"/>
        </w:rPr>
      </w:r>
    </w:p>
    <w:p>
      <w:pPr>
        <w:pStyle w:val="ListParagraph"/>
        <w:numPr>
          <w:ilvl w:val="0"/>
          <w:numId w:val="1"/>
        </w:numPr>
        <w:ind w:hanging="360" w:left="360"/>
        <w:rPr>
          <w:rFonts w:ascii="Cambria" w:hAnsi="Cambria" w:cs="Times New Roman"/>
          <w:color w:themeColor="text1" w:val="000000"/>
        </w:rPr>
      </w:pPr>
      <w:r>
        <w:rPr>
          <w:rFonts w:cs="Times New Roman" w:ascii="Cambria" w:hAnsi="Cambria"/>
          <w:color w:themeColor="text1" w:val="000000"/>
        </w:rPr>
        <w:t>The Working Group’s existing mission statement. (Provide a revised mission statement if preferable, indicating that it is a revision and including a brief explanation of reasons for this change).</w:t>
      </w:r>
    </w:p>
    <w:p>
      <w:pPr>
        <w:pStyle w:val="Normal"/>
        <w:ind w:left="360"/>
        <w:rPr>
          <w:rFonts w:ascii="Cambria" w:hAnsi="Cambria" w:cs="Times New Roman"/>
          <w:color w:themeColor="text1" w:val="000000"/>
        </w:rPr>
      </w:pPr>
      <w:r>
        <w:rPr>
          <w:rFonts w:cs="Times New Roman" w:ascii="Cambria" w:hAnsi="Cambria"/>
          <w:color w:themeColor="text1" w:val="000000"/>
        </w:rPr>
      </w:r>
    </w:p>
    <w:p>
      <w:pPr>
        <w:pStyle w:val="Normal"/>
        <w:ind w:left="360"/>
        <w:rPr>
          <w:rFonts w:ascii="Cambria" w:hAnsi="Cambria" w:cs="Times New Roman"/>
          <w:i/>
          <w:i/>
          <w:iCs/>
          <w:color w:themeColor="text1" w:val="000000"/>
        </w:rPr>
      </w:pPr>
      <w:r>
        <w:rPr>
          <w:rFonts w:cs="Times New Roman" w:ascii="Cambria" w:hAnsi="Cambria"/>
          <w:i/>
          <w:iCs/>
          <w:color w:themeColor="text1" w:val="000000"/>
        </w:rPr>
        <w:t>Provide Answer Here</w:t>
      </w:r>
    </w:p>
    <w:p>
      <w:pPr>
        <w:pStyle w:val="Normal"/>
        <w:ind w:left="360"/>
        <w:rPr>
          <w:rFonts w:ascii="Cambria" w:hAnsi="Cambria" w:cs="Times New Roman"/>
          <w:color w:themeColor="text1" w:val="000000"/>
        </w:rPr>
      </w:pPr>
      <w:r>
        <w:rPr>
          <w:rFonts w:cs="Times New Roman" w:ascii="Cambria" w:hAnsi="Cambria"/>
          <w:color w:themeColor="text1" w:val="000000"/>
        </w:rPr>
      </w:r>
    </w:p>
    <w:p>
      <w:pPr>
        <w:pStyle w:val="ListParagraph"/>
        <w:numPr>
          <w:ilvl w:val="0"/>
          <w:numId w:val="1"/>
        </w:numPr>
        <w:ind w:hanging="360" w:left="360"/>
        <w:rPr>
          <w:rFonts w:ascii="Cambria" w:hAnsi="Cambria" w:cs="Times New Roman"/>
          <w:color w:themeColor="text1" w:val="000000"/>
        </w:rPr>
      </w:pPr>
      <w:r>
        <w:rPr>
          <w:rFonts w:cs="Times New Roman" w:ascii="Cambria" w:hAnsi="Cambria"/>
          <w:color w:themeColor="text1" w:val="000000"/>
        </w:rPr>
        <w:t xml:space="preserve">Vision statement describing the Working Group’s vision for the coming four years of work. </w:t>
      </w:r>
    </w:p>
    <w:p>
      <w:pPr>
        <w:pStyle w:val="Normal"/>
        <w:ind w:firstLine="360"/>
        <w:rPr>
          <w:rFonts w:ascii="Cambria" w:hAnsi="Cambria" w:cs="Times New Roman"/>
          <w:i/>
          <w:i/>
          <w:iCs/>
          <w:color w:themeColor="text1" w:val="000000"/>
        </w:rPr>
      </w:pPr>
      <w:r>
        <w:rPr>
          <w:rFonts w:cs="Times New Roman" w:ascii="Cambria" w:hAnsi="Cambria"/>
          <w:i/>
          <w:iCs/>
          <w:color w:themeColor="text1" w:val="000000"/>
        </w:rPr>
      </w:r>
    </w:p>
    <w:p>
      <w:pPr>
        <w:pStyle w:val="Normal"/>
        <w:ind w:firstLine="360"/>
        <w:rPr>
          <w:rFonts w:ascii="Cambria" w:hAnsi="Cambria" w:cs="Times New Roman"/>
          <w:i/>
          <w:i/>
          <w:iCs/>
          <w:color w:themeColor="text1" w:val="000000"/>
        </w:rPr>
      </w:pPr>
      <w:r>
        <w:rPr>
          <w:rFonts w:cs="Times New Roman" w:ascii="Cambria" w:hAnsi="Cambria"/>
          <w:i/>
          <w:iCs/>
          <w:color w:themeColor="text1" w:val="000000"/>
        </w:rPr>
        <w:t>Provide Answer Here</w:t>
      </w:r>
    </w:p>
    <w:p>
      <w:pPr>
        <w:pStyle w:val="Normal"/>
        <w:rPr>
          <w:rFonts w:ascii="Cambria" w:hAnsi="Cambria" w:cs="Times New Roman"/>
          <w:color w:themeColor="text1" w:val="000000"/>
        </w:rPr>
      </w:pPr>
      <w:r>
        <w:rPr>
          <w:rFonts w:cs="Times New Roman" w:ascii="Cambria" w:hAnsi="Cambria"/>
          <w:color w:themeColor="text1" w:val="000000"/>
        </w:rPr>
      </w:r>
    </w:p>
    <w:p>
      <w:pPr>
        <w:pStyle w:val="ListParagraph"/>
        <w:numPr>
          <w:ilvl w:val="0"/>
          <w:numId w:val="1"/>
        </w:numPr>
        <w:ind w:hanging="360" w:left="360"/>
        <w:rPr>
          <w:rFonts w:ascii="Cambria" w:hAnsi="Cambria" w:cs="Times New Roman"/>
          <w:color w:themeColor="text1" w:val="000000"/>
          <w:kern w:val="0"/>
        </w:rPr>
      </w:pPr>
      <w:r>
        <w:rPr>
          <w:rFonts w:cs="Times New Roman" w:ascii="Cambria" w:hAnsi="Cambria"/>
          <w:color w:themeColor="text1" w:val="000000"/>
        </w:rPr>
        <w:t xml:space="preserve">Statement on the </w:t>
      </w:r>
      <w:r>
        <w:rPr>
          <w:rFonts w:cs="Times New Roman" w:ascii="Cambria" w:hAnsi="Cambria"/>
          <w:color w:themeColor="text1" w:val="000000"/>
          <w:kern w:val="0"/>
        </w:rPr>
        <w:t>most pressing of emerging intellectual or empirical challenges within the Working Group’s thematic research areas, including whether and how the Working Group addresses these challenges.</w:t>
      </w:r>
    </w:p>
    <w:p>
      <w:pPr>
        <w:pStyle w:val="Normal"/>
        <w:ind w:firstLine="360"/>
        <w:rPr>
          <w:rFonts w:ascii="Cambria" w:hAnsi="Cambria" w:cs="Times New Roman"/>
          <w:color w:themeColor="text1" w:val="000000"/>
        </w:rPr>
      </w:pPr>
      <w:r>
        <w:rPr>
          <w:rFonts w:cs="Times New Roman" w:ascii="Cambria" w:hAnsi="Cambria"/>
          <w:color w:themeColor="text1" w:val="000000"/>
        </w:rPr>
      </w:r>
    </w:p>
    <w:p>
      <w:pPr>
        <w:pStyle w:val="Normal"/>
        <w:ind w:firstLine="360"/>
        <w:rPr>
          <w:rFonts w:ascii="Cambria" w:hAnsi="Cambria" w:cs="Times New Roman"/>
          <w:i/>
          <w:i/>
          <w:iCs/>
          <w:color w:themeColor="text1" w:val="000000"/>
        </w:rPr>
      </w:pPr>
      <w:r>
        <w:rPr>
          <w:rFonts w:cs="Times New Roman" w:ascii="Cambria" w:hAnsi="Cambria"/>
          <w:i/>
          <w:iCs/>
          <w:color w:themeColor="text1" w:val="000000"/>
        </w:rPr>
        <w:t>Provide Answer Here</w:t>
      </w:r>
    </w:p>
    <w:p>
      <w:pPr>
        <w:pStyle w:val="Normal"/>
        <w:ind w:left="360"/>
        <w:rPr>
          <w:rFonts w:ascii="Cambria" w:hAnsi="Cambria" w:cs="Times New Roman"/>
          <w:color w:themeColor="text1" w:val="000000"/>
        </w:rPr>
      </w:pPr>
      <w:r>
        <w:rPr>
          <w:rFonts w:cs="Times New Roman" w:ascii="Cambria" w:hAnsi="Cambria"/>
          <w:color w:themeColor="text1" w:val="000000"/>
        </w:rPr>
      </w:r>
    </w:p>
    <w:p>
      <w:pPr>
        <w:pStyle w:val="ListParagraph"/>
        <w:numPr>
          <w:ilvl w:val="0"/>
          <w:numId w:val="1"/>
        </w:numPr>
        <w:ind w:hanging="360" w:left="360"/>
        <w:rPr>
          <w:rFonts w:ascii="Cambria" w:hAnsi="Cambria" w:cs="Times New Roman"/>
          <w:color w:themeColor="text1" w:val="000000"/>
        </w:rPr>
      </w:pPr>
      <w:r>
        <w:rPr>
          <w:rFonts w:cs="Times New Roman" w:ascii="Cambria" w:hAnsi="Cambria"/>
          <w:color w:themeColor="text1" w:val="000000"/>
        </w:rPr>
        <w:t xml:space="preserve">A plan of work for the coming 4 years. This plan will consist of the kinds of events/activities specified in the list of required Working Group activities, in the </w:t>
      </w:r>
      <w:r>
        <w:rPr>
          <w:rFonts w:cs="Calibri" w:ascii="Cambria" w:hAnsi="Cambria"/>
        </w:rPr>
        <w:t>Activity Requirements, Monitoring, and Evaluation document noted above,</w:t>
      </w:r>
      <w:r>
        <w:rPr>
          <w:rFonts w:cs="Times New Roman" w:ascii="Cambria" w:hAnsi="Cambria"/>
          <w:color w:themeColor="text1" w:val="000000"/>
        </w:rPr>
        <w:t xml:space="preserve"> expressed along a rough timeline, e.g., year-one, year-two, year three… </w:t>
      </w:r>
    </w:p>
    <w:p>
      <w:pPr>
        <w:pStyle w:val="ListParagraph"/>
        <w:rPr>
          <w:rFonts w:ascii="Cambria" w:hAnsi="Cambria" w:cs="Times New Roman"/>
          <w:color w:themeColor="text1" w:val="000000"/>
        </w:rPr>
      </w:pPr>
      <w:r>
        <w:rPr>
          <w:rFonts w:cs="Times New Roman" w:ascii="Cambria" w:hAnsi="Cambria"/>
          <w:color w:themeColor="text1" w:val="000000"/>
        </w:rPr>
      </w:r>
    </w:p>
    <w:p>
      <w:pPr>
        <w:pStyle w:val="Normal"/>
        <w:ind w:left="360"/>
        <w:rPr>
          <w:rFonts w:ascii="Cambria" w:hAnsi="Cambria" w:cs="Times New Roman"/>
          <w:color w:themeColor="text1" w:val="000000"/>
        </w:rPr>
      </w:pPr>
      <w:r>
        <w:rPr>
          <w:rFonts w:ascii="Cambria" w:hAnsi="Cambria"/>
          <w:color w:val="333E48"/>
          <w:shd w:fill="FFFFFF" w:val="clear"/>
        </w:rPr>
        <w:t>This may include projecting forward the kind of information gathered annually, such as: “events/activities during the past year (not including the IAMCR main conference). For this, a variety of formats, including seminars, meetings, webinars, video conferences or other online activities such as courses, etc. can be used.”  Regular conference activities can also be indicated.</w:t>
      </w:r>
    </w:p>
    <w:p>
      <w:pPr>
        <w:pStyle w:val="Normal"/>
        <w:ind w:left="360"/>
        <w:rPr>
          <w:rFonts w:ascii="Cambria" w:hAnsi="Cambria" w:cs="Times New Roman"/>
          <w:i/>
          <w:i/>
          <w:iCs/>
          <w:color w:themeColor="text1" w:val="000000"/>
        </w:rPr>
      </w:pPr>
      <w:r>
        <w:rPr>
          <w:rFonts w:cs="Times New Roman" w:ascii="Cambria" w:hAnsi="Cambria"/>
          <w:i/>
          <w:iCs/>
          <w:color w:themeColor="text1" w:val="000000"/>
        </w:rPr>
      </w:r>
    </w:p>
    <w:p>
      <w:pPr>
        <w:pStyle w:val="Normal"/>
        <w:ind w:left="360"/>
        <w:rPr>
          <w:rFonts w:ascii="Cambria" w:hAnsi="Cambria" w:cs="Times New Roman"/>
          <w:i/>
          <w:i/>
          <w:iCs/>
          <w:color w:themeColor="text1" w:val="000000"/>
        </w:rPr>
      </w:pPr>
      <w:r>
        <w:rPr>
          <w:rFonts w:cs="Times New Roman" w:ascii="Cambria" w:hAnsi="Cambria"/>
          <w:i/>
          <w:iCs/>
          <w:color w:themeColor="text1" w:val="000000"/>
        </w:rPr>
        <w:t>Provide Answer Here</w:t>
      </w:r>
    </w:p>
    <w:p>
      <w:pPr>
        <w:pStyle w:val="Normal"/>
        <w:ind w:hanging="360" w:left="360"/>
        <w:rPr>
          <w:rFonts w:ascii="Cambria" w:hAnsi="Cambria" w:cs="Times New Roman"/>
          <w:color w:themeColor="text1" w:val="000000"/>
        </w:rPr>
      </w:pPr>
      <w:r>
        <w:rPr>
          <w:rFonts w:cs="Times New Roman" w:ascii="Cambria" w:hAnsi="Cambria"/>
          <w:color w:themeColor="text1" w:val="000000"/>
        </w:rPr>
      </w:r>
    </w:p>
    <w:p>
      <w:pPr>
        <w:pStyle w:val="Normal"/>
        <w:rPr>
          <w:rFonts w:ascii="Cambria" w:hAnsi="Cambria"/>
        </w:rPr>
      </w:pPr>
      <w:r>
        <w:rPr>
          <w:rFonts w:ascii="Cambria" w:hAnsi="Cambria"/>
        </w:rPr>
      </w:r>
    </w:p>
    <w:p>
      <w:pPr>
        <w:pStyle w:val="Normal"/>
        <w:rPr>
          <w:rFonts w:ascii="Cambria" w:hAnsi="Cambria"/>
        </w:rPr>
      </w:pPr>
      <w:r>
        <w:rPr>
          <w:rFonts w:ascii="Cambria" w:hAnsi="Cambria"/>
        </w:rPr>
        <w:t xml:space="preserve">Submit the completed Word file to </w:t>
      </w:r>
      <w:r>
        <w:rPr>
          <w:rFonts w:ascii="Cambria" w:hAnsi="Cambria"/>
        </w:rPr>
        <w:t>Valeria Zamisch &lt;</w:t>
      </w:r>
      <w:hyperlink r:id="rId3">
        <w:r>
          <w:rPr>
            <w:rStyle w:val="Hyperlink"/>
            <w:rFonts w:ascii="Cambria" w:hAnsi="Cambria"/>
          </w:rPr>
          <w:t>vzamisch@iamcr.org</w:t>
        </w:r>
      </w:hyperlink>
      <w:r>
        <w:rPr>
          <w:rFonts w:ascii="Cambria" w:hAnsi="Cambria"/>
        </w:rPr>
        <w:t xml:space="preserve">&gt; </w:t>
      </w:r>
      <w:r>
        <w:rPr>
          <w:rFonts w:ascii="Cambria" w:hAnsi="Cambria"/>
        </w:rPr>
        <w:t>who will circulate applications to the</w:t>
      </w:r>
      <w:r>
        <w:rPr>
          <w:rFonts w:ascii="Cambria" w:hAnsi="Cambria"/>
          <w:shd w:fill="auto" w:val="clear"/>
        </w:rPr>
        <w:t xml:space="preserve"> </w:t>
      </w:r>
      <w:r>
        <w:rPr>
          <w:rFonts w:ascii="Cambria" w:hAnsi="Cambria"/>
        </w:rPr>
        <w:t xml:space="preserve">Executive Board, Scholarly Review Committee, and President who will schedule the applications for a vote in the International Council.  </w:t>
      </w:r>
    </w:p>
    <w:p>
      <w:pPr>
        <w:pStyle w:val="Normal"/>
        <w:rPr>
          <w:rFonts w:ascii="Cambria" w:hAnsi="Cambria"/>
        </w:rPr>
      </w:pPr>
      <w:r>
        <w:rPr>
          <w:rFonts w:ascii="Cambria" w:hAnsi="Cambria"/>
        </w:rPr>
      </w:r>
    </w:p>
    <w:p>
      <w:pPr>
        <w:pStyle w:val="Normal"/>
        <w:rPr>
          <w:rFonts w:ascii="Cambria" w:hAnsi="Cambria"/>
        </w:rPr>
      </w:pPr>
      <w:r>
        <w:rPr>
          <w:rFonts w:ascii="Cambria" w:hAnsi="Cambria"/>
        </w:rPr>
        <w:t>You may be contacted by members of the Executive Board or the Scholarly Review Committee if further information is required.</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jc w:val="right"/>
        <w:rPr>
          <w:i/>
          <w:i/>
          <w:iCs/>
        </w:rPr>
      </w:pPr>
      <w:r>
        <w:rPr>
          <w:i/>
          <w:iCs/>
        </w:rPr>
        <w:t>Approved by International Council 30 June 2024</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72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7920"/>
      <w:rPr>
        <w:rFonts w:ascii="Cambria" w:hAnsi="Cambria"/>
        <w:i/>
        <w:i/>
        <w:iCs/>
      </w:rPr>
    </w:pPr>
    <w:r>
      <w:rPr>
        <w:rFonts w:ascii="Cambria" w:hAnsi="Cambria"/>
        <w:i/>
        <w:iC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7920"/>
      <w:rPr>
        <w:rFonts w:ascii="Cambria" w:hAnsi="Cambria"/>
        <w:i/>
        <w:i/>
        <w:iCs/>
      </w:rPr>
    </w:pPr>
    <w:r>
      <w:rPr>
        <w:rFonts w:ascii="Cambria" w:hAnsi="Cambria"/>
        <w:i/>
        <w:i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Normal"/>
    <w:link w:val="Heading1Char"/>
    <w:uiPriority w:val="9"/>
    <w:qFormat/>
    <w:rsid w:val="001f2907"/>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9c38c8"/>
    <w:rPr/>
  </w:style>
  <w:style w:type="character" w:styleId="apple-tab-span" w:customStyle="1">
    <w:name w:val="apple-tab-span"/>
    <w:basedOn w:val="DefaultParagraphFont"/>
    <w:qFormat/>
    <w:rsid w:val="009c38c8"/>
    <w:rPr/>
  </w:style>
  <w:style w:type="character" w:styleId="Hyperlink">
    <w:name w:val="Hyperlink"/>
    <w:basedOn w:val="DefaultParagraphFont"/>
    <w:uiPriority w:val="99"/>
    <w:unhideWhenUsed/>
    <w:rsid w:val="003f1456"/>
    <w:rPr>
      <w:color w:val="0000FF"/>
      <w:u w:val="single"/>
    </w:rPr>
  </w:style>
  <w:style w:type="character" w:styleId="Heading1Char" w:customStyle="1">
    <w:name w:val="Heading 1 Char"/>
    <w:basedOn w:val="DefaultParagraphFont"/>
    <w:link w:val="Heading1"/>
    <w:uiPriority w:val="9"/>
    <w:qFormat/>
    <w:rsid w:val="001f2907"/>
    <w:rPr>
      <w:rFonts w:ascii="Calibri Light" w:hAnsi="Calibri Light" w:eastAsia="" w:cs="" w:asciiTheme="majorHAnsi" w:cstheme="majorBidi" w:eastAsiaTheme="majorEastAsia" w:hAnsiTheme="majorHAnsi"/>
      <w:color w:themeColor="accent1" w:themeShade="bf" w:val="2F5496"/>
      <w:sz w:val="32"/>
      <w:szCs w:val="32"/>
    </w:rPr>
  </w:style>
  <w:style w:type="character" w:styleId="UnresolvedMention">
    <w:name w:val="Unresolved Mention"/>
    <w:basedOn w:val="DefaultParagraphFont"/>
    <w:uiPriority w:val="99"/>
    <w:semiHidden/>
    <w:unhideWhenUsed/>
    <w:qFormat/>
    <w:rsid w:val="007569ec"/>
    <w:rPr>
      <w:color w:val="605E5C"/>
      <w:shd w:fill="E1DFDD" w:val="clear"/>
    </w:rPr>
  </w:style>
  <w:style w:type="character" w:styleId="FollowedHyperlink">
    <w:name w:val="FollowedHyperlink"/>
    <w:basedOn w:val="DefaultParagraphFont"/>
    <w:uiPriority w:val="99"/>
    <w:semiHidden/>
    <w:unhideWhenUsed/>
    <w:rsid w:val="00dc1478"/>
    <w:rPr>
      <w:color w:themeColor="followedHyperlink" w:val="954F72"/>
      <w:u w:val="single"/>
    </w:rPr>
  </w:style>
  <w:style w:type="character" w:styleId="CommentReference">
    <w:name w:val="annotation reference"/>
    <w:basedOn w:val="DefaultParagraphFont"/>
    <w:uiPriority w:val="99"/>
    <w:semiHidden/>
    <w:unhideWhenUsed/>
    <w:qFormat/>
    <w:rsid w:val="002d4fa5"/>
    <w:rPr>
      <w:sz w:val="16"/>
      <w:szCs w:val="16"/>
    </w:rPr>
  </w:style>
  <w:style w:type="character" w:styleId="CommentTextChar" w:customStyle="1">
    <w:name w:val="Comment Text Char"/>
    <w:basedOn w:val="DefaultParagraphFont"/>
    <w:link w:val="CommentText"/>
    <w:uiPriority w:val="99"/>
    <w:semiHidden/>
    <w:qFormat/>
    <w:rsid w:val="002d4fa5"/>
    <w:rPr>
      <w:sz w:val="20"/>
      <w:szCs w:val="20"/>
    </w:rPr>
  </w:style>
  <w:style w:type="character" w:styleId="CommentSubjectChar" w:customStyle="1">
    <w:name w:val="Comment Subject Char"/>
    <w:basedOn w:val="CommentTextChar"/>
    <w:link w:val="annotationsubject"/>
    <w:uiPriority w:val="99"/>
    <w:semiHidden/>
    <w:qFormat/>
    <w:rsid w:val="002d4fa5"/>
    <w:rPr>
      <w:b/>
      <w:bCs/>
      <w:sz w:val="20"/>
      <w:szCs w:val="20"/>
    </w:rPr>
  </w:style>
  <w:style w:type="character" w:styleId="HeaderChar" w:customStyle="1">
    <w:name w:val="Header Char"/>
    <w:basedOn w:val="DefaultParagraphFont"/>
    <w:link w:val="Header"/>
    <w:uiPriority w:val="99"/>
    <w:qFormat/>
    <w:rsid w:val="006c529c"/>
    <w:rPr/>
  </w:style>
  <w:style w:type="character" w:styleId="FooterChar" w:customStyle="1">
    <w:name w:val="Footer Char"/>
    <w:basedOn w:val="DefaultParagraphFont"/>
    <w:link w:val="Footer"/>
    <w:uiPriority w:val="99"/>
    <w:qFormat/>
    <w:rsid w:val="006c529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70b2f"/>
    <w:pPr>
      <w:spacing w:before="0" w:after="0"/>
      <w:ind w:left="720"/>
      <w:contextualSpacing/>
    </w:pPr>
    <w:rPr>
      <w:kern w:val="2"/>
      <w14:ligatures w14:val="standardContextual"/>
    </w:rPr>
  </w:style>
  <w:style w:type="paragraph" w:styleId="NormalWeb">
    <w:name w:val="Normal (Web)"/>
    <w:basedOn w:val="Normal"/>
    <w:uiPriority w:val="99"/>
    <w:unhideWhenUsed/>
    <w:qFormat/>
    <w:rsid w:val="007569ec"/>
    <w:pPr>
      <w:spacing w:beforeAutospacing="1" w:afterAutospacing="1"/>
    </w:pPr>
    <w:rPr>
      <w:rFonts w:ascii="Times New Roman" w:hAnsi="Times New Roman" w:eastAsia="Times New Roman" w:cs="Times New Roman"/>
    </w:rPr>
  </w:style>
  <w:style w:type="paragraph" w:styleId="CommentText">
    <w:name w:val="annotation text"/>
    <w:basedOn w:val="Normal"/>
    <w:link w:val="CommentTextChar"/>
    <w:uiPriority w:val="99"/>
    <w:semiHidden/>
    <w:unhideWhenUsed/>
    <w:rsid w:val="002d4fa5"/>
    <w:pPr/>
    <w:rPr>
      <w:sz w:val="20"/>
      <w:szCs w:val="20"/>
    </w:rPr>
  </w:style>
  <w:style w:type="paragraph" w:styleId="annotationsubject">
    <w:name w:val="annotation subject"/>
    <w:basedOn w:val="CommentText"/>
    <w:next w:val="CommentText"/>
    <w:link w:val="CommentSubjectChar"/>
    <w:uiPriority w:val="99"/>
    <w:semiHidden/>
    <w:unhideWhenUsed/>
    <w:qFormat/>
    <w:rsid w:val="002d4fa5"/>
    <w:pPr/>
    <w:rPr>
      <w:b/>
      <w:bCs/>
    </w:rPr>
  </w:style>
  <w:style w:type="paragraph" w:styleId="Revision">
    <w:name w:val="Revision"/>
    <w:uiPriority w:val="99"/>
    <w:semiHidden/>
    <w:qFormat/>
    <w:rsid w:val="006e53f1"/>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6c529c"/>
    <w:pPr>
      <w:tabs>
        <w:tab w:val="clear" w:pos="720"/>
        <w:tab w:val="center" w:pos="4680" w:leader="none"/>
        <w:tab w:val="right" w:pos="9360" w:leader="none"/>
      </w:tabs>
    </w:pPr>
    <w:rPr/>
  </w:style>
  <w:style w:type="paragraph" w:styleId="Footer">
    <w:name w:val="footer"/>
    <w:basedOn w:val="Normal"/>
    <w:link w:val="FooterChar"/>
    <w:uiPriority w:val="99"/>
    <w:unhideWhenUsed/>
    <w:rsid w:val="006c529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amcr.org/sites/default/files/SectionWorkingGroupActivityRequirementsMonitoringEvaluation.pdf" TargetMode="External"/><Relationship Id="rId3" Type="http://schemas.openxmlformats.org/officeDocument/2006/relationships/hyperlink" Target="mailto:vzamisch@iamcr.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LibreOffice/25.2.4.3$Windows_X86_64 LibreOffice_project/33e196637044ead23f5c3226cde09b47731f7e27</Application>
  <AppVersion>15.0000</AppVersion>
  <Pages>2</Pages>
  <Words>494</Words>
  <Characters>2892</Characters>
  <CharactersWithSpaces>3373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2025-05-03T16:34:00Z</dcterms:created>
  <dc:creator>Tom Jacobson</dc:creator>
  <dc:description/>
  <dc:language>en-CA</dc:language>
  <cp:lastModifiedBy/>
  <dcterms:modified xsi:type="dcterms:W3CDTF">2025-06-17T15:59:19Z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